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09" w:rsidRPr="00032809" w:rsidRDefault="00032809" w:rsidP="00032809">
      <w:pPr>
        <w:spacing w:after="0" w:line="240" w:lineRule="auto"/>
        <w:rPr>
          <w:rFonts w:ascii="PT Astra Serif" w:hAnsi="PT Astra Serif"/>
          <w:sz w:val="24"/>
          <w:szCs w:val="24"/>
        </w:rPr>
      </w:pPr>
      <w:bookmarkStart w:id="0" w:name="_Toc180132"/>
      <w:r w:rsidRPr="00032809">
        <w:rPr>
          <w:rFonts w:ascii="PT Astra Serif" w:hAnsi="PT Astra Serif"/>
          <w:b/>
          <w:sz w:val="24"/>
          <w:szCs w:val="24"/>
        </w:rPr>
        <w:t xml:space="preserve">9. Листы (бланки) ответов участников ГИА </w:t>
      </w:r>
      <w:bookmarkEnd w:id="0"/>
      <w:r w:rsidRPr="00032809">
        <w:rPr>
          <w:rFonts w:ascii="PT Astra Serif" w:hAnsi="PT Astra Serif"/>
          <w:sz w:val="24"/>
          <w:szCs w:val="24"/>
        </w:rPr>
        <w:t xml:space="preserve"> </w:t>
      </w:r>
    </w:p>
    <w:p w:rsidR="00032809" w:rsidRPr="00032809" w:rsidRDefault="00032809" w:rsidP="00032809">
      <w:pPr>
        <w:spacing w:after="0" w:line="240" w:lineRule="auto"/>
        <w:rPr>
          <w:rFonts w:ascii="PT Astra Serif" w:hAnsi="PT Astra Serif"/>
          <w:sz w:val="24"/>
          <w:szCs w:val="24"/>
        </w:rPr>
      </w:pPr>
      <w:bookmarkStart w:id="1" w:name="_Toc180133"/>
      <w:r w:rsidRPr="00032809">
        <w:rPr>
          <w:rFonts w:ascii="PT Astra Serif" w:hAnsi="PT Astra Serif"/>
          <w:b/>
          <w:sz w:val="24"/>
          <w:szCs w:val="24"/>
        </w:rPr>
        <w:t xml:space="preserve">9.1. Общая часть </w:t>
      </w:r>
      <w:bookmarkEnd w:id="1"/>
      <w:r w:rsidRPr="00032809">
        <w:rPr>
          <w:rFonts w:ascii="PT Astra Serif" w:hAnsi="PT Astra Serif"/>
          <w:sz w:val="24"/>
          <w:szCs w:val="24"/>
        </w:rPr>
        <w:t xml:space="preserve">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9.1.1. Участники ГИА выполняют экзаменационные работы на листах (бланках) ответов, включающих в себя: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лист (бланк) ответов № 1 на задания с кратким ответом;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лист (бланк) ответов № 2 на задания с развернутым ответом (может быть реализован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как два отдельных листа – лист 1 и лист 2); дополнительный лист (бланк) ответов № 2 на задания с развернутым ответом; лист (бланк) устного экзамена.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Предпочтительно использовать односторонние листы (бланки) ответов № 2. Далее в тексте настоящих методических рекомендаций предполагается, что бланки односторонние.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9.1.2. В листе (бланке) ответов № 1 на задания с кратким ответом рекомендуется предусмотреть три части – верхнюю, среднюю и нижнюю.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В верхней части листа (бланка) ответов № 1 (регистрационная часть) предлагается расположить следующие поля: «Код региона»; «Код образовательной организации»; «Номер и буква класса»; «Код пункта проведения экзамена»; «Номер аудитории»; «Код предмета»; «Название предмета»; «Дата проведения экзамена»; «Сведения об участнике государственной итоговой аттестации», включающие в себя поля: «Фамилия»; «Имя»; «Отчество (при наличии)»; «Серия и номер документа, удостоверяющего личность»</w:t>
      </w:r>
      <w:r w:rsidRPr="00032809">
        <w:rPr>
          <w:rFonts w:ascii="PT Astra Serif" w:hAnsi="PT Astra Serif"/>
          <w:sz w:val="24"/>
          <w:szCs w:val="24"/>
          <w:vertAlign w:val="superscript"/>
        </w:rPr>
        <w:footnoteReference w:id="1"/>
      </w:r>
      <w:r w:rsidRPr="00032809">
        <w:rPr>
          <w:rFonts w:ascii="PT Astra Serif" w:hAnsi="PT Astra Serif"/>
          <w:sz w:val="24"/>
          <w:szCs w:val="24"/>
        </w:rPr>
        <w:t xml:space="preserve">; «Подпись участника экзамена».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 верхней части листа (бланка) ответов № 1 на задания с кратким ответом необходимо разместить образец написания цифр, букв и символов.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 средней части листа (бланка) ответов № 1 рекомендуется расположить поле(я) записи результатов выполнения заданий с кратким ответом.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 нижней части листа (бланка) ответов № 1 предлагается предусмотреть поля: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«Замена ошибочных ответов на задания с кратким ответом»;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«Количество заполненных полей «Замена ошибочных ответов»;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«Удален с экзамена в связи с нарушением порядка проведения ГИА»; «Не завершил экзамен по уважительной причине»; «Подпись ответственного организатора».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Рекомендуется в листе (бланке) ответов № 1 на задания с кратким ответом по химии предусмотреть поля для оценивания лабораторной работы двумя экспертами.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9.1.3. В листе (бланке) ответов № 2 на задания с развернутым ответом и дополнительном листе (бланке) ответов № 2 на задания с развернутым ответом рекомендуется предусмотреть две части – верхнюю и нижнюю.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 верхней части листа (бланка) ответов № 2 и дополнительном листе (бланке) ответов № 2 предлагается расположить следующие поля: «Код региона»; «Код предмета»; «Название предмета».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Также в этой части необходимо предусмотреть поле для записи цифрового значения кода дополнительного листа (бланка) ответов № 2 и (или) следующего дополнительного листа (бланка) ответов № 2, который будет использован участником экзамена.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 нижней части листа (бланка)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9.1.4. В листе (бланке) устного экзамена рекомендуется предусмотреть три части – верхнюю, среднюю и нижнюю.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 верхней части листа (бланка) устного экзамена предлагается расположить следующие поля: «Код региона»; «Код образовательной организации»; «Номер и буква класса»; «Код пункта проведения экзамена»; «Номер аудитории»; «Код предмета»; «Название предмета»; «Дата проведения экзамена».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lastRenderedPageBreak/>
        <w:t xml:space="preserve">Также в верхней части листа (бланка) устного экзамена необходимо разместить образец написания цифр, букв и символов.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В средней части листа (бланка) устного экзамена указываются следующие сведения об участнике ГИА: фамилия; имя; отчество (при наличии); серия и номер документа, удостоверяющего личность</w:t>
      </w:r>
      <w:r w:rsidRPr="00032809">
        <w:rPr>
          <w:rFonts w:ascii="PT Astra Serif" w:hAnsi="PT Astra Serif"/>
          <w:sz w:val="24"/>
          <w:szCs w:val="24"/>
          <w:vertAlign w:val="superscript"/>
        </w:rPr>
        <w:footnoteReference w:id="2"/>
      </w:r>
      <w:r w:rsidRPr="00032809">
        <w:rPr>
          <w:rFonts w:ascii="PT Astra Serif" w:hAnsi="PT Astra Serif"/>
          <w:sz w:val="24"/>
          <w:szCs w:val="24"/>
        </w:rPr>
        <w:t xml:space="preserve">; поле «Подпись участника экзамена».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 нижней части листа (бланка) устного экзамена рекомендуется расположить поля: «Удален с экзамена в связи с нарушением порядка проведения ГИА»; «Не завершил экзамен по уважительной причине».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«Подпись ответственного организатора».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9.1.5. Основные правила заполнения листов (бланков) ответов.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Все листы (бланки) ответов заполняются </w:t>
      </w:r>
      <w:proofErr w:type="spellStart"/>
      <w:r w:rsidRPr="00032809">
        <w:rPr>
          <w:rFonts w:ascii="PT Astra Serif" w:hAnsi="PT Astra Serif"/>
          <w:sz w:val="24"/>
          <w:szCs w:val="24"/>
        </w:rPr>
        <w:t>гелевой</w:t>
      </w:r>
      <w:proofErr w:type="spellEnd"/>
      <w:r w:rsidRPr="00032809">
        <w:rPr>
          <w:rFonts w:ascii="PT Astra Serif" w:hAnsi="PT Astra Serif"/>
          <w:sz w:val="24"/>
          <w:szCs w:val="24"/>
        </w:rPr>
        <w:t xml:space="preserve"> или капиллярной ручкой с чернилами черного цвета.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Для </w:t>
      </w:r>
      <w:proofErr w:type="spellStart"/>
      <w:r w:rsidRPr="00032809">
        <w:rPr>
          <w:rFonts w:ascii="PT Astra Serif" w:hAnsi="PT Astra Serif"/>
          <w:sz w:val="24"/>
          <w:szCs w:val="24"/>
        </w:rPr>
        <w:t>помечания</w:t>
      </w:r>
      <w:proofErr w:type="spellEnd"/>
      <w:r w:rsidRPr="00032809">
        <w:rPr>
          <w:rFonts w:ascii="PT Astra Serif" w:hAnsi="PT Astra Serif"/>
          <w:sz w:val="24"/>
          <w:szCs w:val="24"/>
        </w:rPr>
        <w:t xml:space="preserve"> поля выбора ответа заполненным используется символ метки «Х».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Символ метки («Х») не должен быть слишком толстым.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Участник экзамена должен изображать каждую цифру и букву во всех заполняемых буквенно-цифровых полях листов (бланков) ответов № 1, тщательно копируя образец ее написания из строки с образцами написания символов.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Каждое поле в листах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При записи ответов необходимо строго следовать инструкциям по выполнению работы (к группе заданий, отдельным заданиям), указанным в КИМ.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На листах (бланках) ответов № 1 и № 2, а также на дополнительных листах (бланках) ответов № 2 не должно быть пометок, содержащих информацию о личности участника экзамена.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b/>
          <w:sz w:val="24"/>
          <w:szCs w:val="24"/>
        </w:rPr>
        <w:t>Категорически запрещается</w:t>
      </w:r>
      <w:r w:rsidRPr="00032809">
        <w:rPr>
          <w:rFonts w:ascii="PT Astra Serif" w:hAnsi="PT Astra Serif"/>
          <w:sz w:val="24"/>
          <w:szCs w:val="24"/>
        </w:rPr>
        <w:t xml:space="preserve">: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делать в полях, вне полей листов (бланков) ответов № 1 и № 2, дополнительных листах (бланках) ответов № 2 какие-либо записи и (или) пометки, не относящиеся к содержанию полей указанных листов (бланков) </w:t>
      </w:r>
      <w:proofErr w:type="gramStart"/>
      <w:r w:rsidRPr="00032809">
        <w:rPr>
          <w:rFonts w:ascii="PT Astra Serif" w:hAnsi="PT Astra Serif"/>
          <w:sz w:val="24"/>
          <w:szCs w:val="24"/>
        </w:rPr>
        <w:t>ответов;  использовать</w:t>
      </w:r>
      <w:proofErr w:type="gramEnd"/>
      <w:r w:rsidRPr="00032809">
        <w:rPr>
          <w:rFonts w:ascii="PT Astra Serif" w:hAnsi="PT Astra Serif"/>
          <w:sz w:val="24"/>
          <w:szCs w:val="24"/>
        </w:rPr>
        <w:t xml:space="preserve"> для заполнения листов (бланков) ответов цветные ручки вместо черной, карандаш, иные письменные принадлежности, средства для исправления внесенной в листы (бланки) ответов информации (корректирующую жидкость, ластик и др.).  </w:t>
      </w:r>
    </w:p>
    <w:p w:rsidR="00032809" w:rsidRPr="00032809" w:rsidRDefault="00032809" w:rsidP="00032809">
      <w:pPr>
        <w:spacing w:after="0" w:line="240" w:lineRule="auto"/>
        <w:rPr>
          <w:rFonts w:ascii="PT Astra Serif" w:hAnsi="PT Astra Serif"/>
          <w:b/>
          <w:sz w:val="24"/>
          <w:szCs w:val="24"/>
        </w:rPr>
      </w:pPr>
      <w:bookmarkStart w:id="2" w:name="_Toc180134"/>
      <w:r w:rsidRPr="00032809">
        <w:rPr>
          <w:rFonts w:ascii="PT Astra Serif" w:hAnsi="PT Astra Serif"/>
          <w:b/>
          <w:sz w:val="24"/>
          <w:szCs w:val="24"/>
        </w:rPr>
        <w:t xml:space="preserve">9.2. Заполнение листа (бланка) ответов № 1  </w:t>
      </w:r>
      <w:bookmarkEnd w:id="2"/>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По указанию ответственного организатора в аудитории участники экзамена заполняют верхнюю часть листа (бланка) ответов № 1 на задания с кратким ответом.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Ответственный организатор в аудитории проверяет правильность заполнения регистрационных полей 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 в аудитории дают указание участнику экзамена внести соответствующие исправления. Исправления могут быть выполнены следующими способами: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запись новых символов (цифр, букв) более жирным шрифтом поверх ранее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написанных символов (цифр, букв); 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lastRenderedPageBreak/>
        <w:t xml:space="preserve">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соответственно. Отметка организатора в аудитории заверяется подписью организатора в аудитории в специально отведенном для этого поле «Подпись ответственного организатора».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 средней части листа (бланка) ответов № 1 на здания с кратким ответом краткий ответ записывается справа от номера задания.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(рис. 1).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листа (бланка).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Краткий ответ в соответствии с инструкцией к заданию может быть записан только в виде: одной цифры; целого числа (возможно использование знака «минус»); конечной десятичной дроби (возможно использование знака «минус»); последовательности символов</w:t>
      </w:r>
      <w:r w:rsidRPr="00032809">
        <w:rPr>
          <w:rFonts w:ascii="PT Astra Serif" w:hAnsi="PT Astra Serif"/>
          <w:sz w:val="24"/>
          <w:szCs w:val="24"/>
          <w:vertAlign w:val="superscript"/>
        </w:rPr>
        <w:footnoteReference w:id="3"/>
      </w:r>
      <w:r w:rsidRPr="00032809">
        <w:rPr>
          <w:rFonts w:ascii="PT Astra Serif" w:hAnsi="PT Astra Serif"/>
          <w:sz w:val="24"/>
          <w:szCs w:val="24"/>
        </w:rPr>
        <w:t xml:space="preserve">, состоящей из букв и (или) цифр; слова или словосочетания (нескольких слов).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drawing>
          <wp:inline distT="0" distB="0" distL="0" distR="0" wp14:anchorId="565403DF" wp14:editId="70256B22">
            <wp:extent cx="5836920" cy="1042416"/>
            <wp:effectExtent l="0" t="0" r="0" b="0"/>
            <wp:docPr id="176961" name="Picture 176961"/>
            <wp:cNvGraphicFramePr/>
            <a:graphic xmlns:a="http://schemas.openxmlformats.org/drawingml/2006/main">
              <a:graphicData uri="http://schemas.openxmlformats.org/drawingml/2006/picture">
                <pic:pic xmlns:pic="http://schemas.openxmlformats.org/drawingml/2006/picture">
                  <pic:nvPicPr>
                    <pic:cNvPr id="176961" name="Picture 176961"/>
                    <pic:cNvPicPr/>
                  </pic:nvPicPr>
                  <pic:blipFill>
                    <a:blip r:embed="rId6"/>
                    <a:stretch>
                      <a:fillRect/>
                    </a:stretch>
                  </pic:blipFill>
                  <pic:spPr>
                    <a:xfrm>
                      <a:off x="0" y="0"/>
                      <a:ext cx="5836920" cy="1042416"/>
                    </a:xfrm>
                    <a:prstGeom prst="rect">
                      <a:avLst/>
                    </a:prstGeom>
                  </pic:spPr>
                </pic:pic>
              </a:graphicData>
            </a:graphic>
          </wp:inline>
        </w:drawing>
      </w:r>
      <w:r w:rsidRPr="00032809">
        <w:rPr>
          <w:rFonts w:ascii="PT Astra Serif" w:hAnsi="PT Astra Serif"/>
          <w:sz w:val="24"/>
          <w:szCs w:val="24"/>
        </w:rPr>
        <w:t xml:space="preserve">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Рис. 1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 </w:t>
      </w:r>
    </w:p>
    <w:p w:rsidR="00032809" w:rsidRPr="00032809" w:rsidRDefault="00032809" w:rsidP="00032809">
      <w:pPr>
        <w:spacing w:after="0" w:line="240" w:lineRule="auto"/>
        <w:rPr>
          <w:rFonts w:ascii="PT Astra Serif" w:hAnsi="PT Astra Serif"/>
          <w:b/>
          <w:sz w:val="24"/>
          <w:szCs w:val="24"/>
        </w:rPr>
      </w:pPr>
      <w:bookmarkStart w:id="3" w:name="_Toc180135"/>
      <w:r w:rsidRPr="00032809">
        <w:rPr>
          <w:rFonts w:ascii="PT Astra Serif" w:hAnsi="PT Astra Serif"/>
          <w:b/>
          <w:sz w:val="24"/>
          <w:szCs w:val="24"/>
        </w:rPr>
        <w:t xml:space="preserve">9.3. Замена ошибочных ответов  </w:t>
      </w:r>
      <w:bookmarkEnd w:id="3"/>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В нижней части листа (бланка)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lastRenderedPageBreak/>
        <w:t>Для замены ответа, внесенного в лист (</w:t>
      </w:r>
      <w:proofErr w:type="gramStart"/>
      <w:r w:rsidRPr="00032809">
        <w:rPr>
          <w:rFonts w:ascii="PT Astra Serif" w:hAnsi="PT Astra Serif"/>
          <w:sz w:val="24"/>
          <w:szCs w:val="24"/>
        </w:rPr>
        <w:t>бланк)  ответов</w:t>
      </w:r>
      <w:proofErr w:type="gramEnd"/>
      <w:r w:rsidRPr="00032809">
        <w:rPr>
          <w:rFonts w:ascii="PT Astra Serif" w:hAnsi="PT Astra Serif"/>
          <w:sz w:val="24"/>
          <w:szCs w:val="24"/>
        </w:rPr>
        <w:t xml:space="preserve"> № 1 на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(рис. 2).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mc:AlternateContent>
          <mc:Choice Requires="wpg">
            <w:drawing>
              <wp:inline distT="0" distB="0" distL="0" distR="0" wp14:anchorId="668BF17C" wp14:editId="21BBFEE3">
                <wp:extent cx="1828800" cy="6097"/>
                <wp:effectExtent l="0" t="0" r="0" b="0"/>
                <wp:docPr id="159648" name="Group 159648"/>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181938" name="Shape 18193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B43D26" id="Group 159648"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">
                <v:shape id="Shape 181938"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" path="m,l1828800,r,9144l,9144,,e" fillcolor="black" stroked="f" strokeweight="0">
                  <v:stroke miterlimit="83231f" joinstyle="miter"/>
                  <v:path arrowok="t" textboxrect="0,0,1828800,9144"/>
                </v:shape>
                <w10:anchorlock/>
              </v:group>
            </w:pict>
          </mc:Fallback>
        </mc:AlternateContent>
      </w:r>
      <w:r w:rsidRPr="00032809">
        <w:rPr>
          <w:rFonts w:ascii="PT Astra Serif" w:hAnsi="PT Astra Serif"/>
          <w:sz w:val="24"/>
          <w:szCs w:val="24"/>
        </w:rPr>
        <w:t xml:space="preserve">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Ниже приведен пример замены.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drawing>
          <wp:inline distT="0" distB="0" distL="0" distR="0" wp14:anchorId="442DFFF7" wp14:editId="33C174BB">
            <wp:extent cx="2804160" cy="1173480"/>
            <wp:effectExtent l="0" t="0" r="0" b="0"/>
            <wp:docPr id="176962" name="Picture 176962"/>
            <wp:cNvGraphicFramePr/>
            <a:graphic xmlns:a="http://schemas.openxmlformats.org/drawingml/2006/main">
              <a:graphicData uri="http://schemas.openxmlformats.org/drawingml/2006/picture">
                <pic:pic xmlns:pic="http://schemas.openxmlformats.org/drawingml/2006/picture">
                  <pic:nvPicPr>
                    <pic:cNvPr id="176962" name="Picture 176962"/>
                    <pic:cNvPicPr/>
                  </pic:nvPicPr>
                  <pic:blipFill>
                    <a:blip r:embed="rId7"/>
                    <a:stretch>
                      <a:fillRect/>
                    </a:stretch>
                  </pic:blipFill>
                  <pic:spPr>
                    <a:xfrm>
                      <a:off x="0" y="0"/>
                      <a:ext cx="2804160" cy="1173480"/>
                    </a:xfrm>
                    <a:prstGeom prst="rect">
                      <a:avLst/>
                    </a:prstGeom>
                  </pic:spPr>
                </pic:pic>
              </a:graphicData>
            </a:graphic>
          </wp:inline>
        </w:drawing>
      </w:r>
      <w:r w:rsidRPr="00032809">
        <w:rPr>
          <w:rFonts w:ascii="PT Astra Serif" w:hAnsi="PT Astra Serif"/>
          <w:sz w:val="24"/>
          <w:szCs w:val="24"/>
        </w:rPr>
        <w:t xml:space="preserve">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Рис. 2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Ответственный организатор в аудитории по окончании выполнения экзаменационной работы участником экзамена должен проверить лист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в аудитории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b/>
          <w:sz w:val="24"/>
          <w:szCs w:val="24"/>
        </w:rPr>
        <w:t xml:space="preserve"> </w:t>
      </w:r>
    </w:p>
    <w:p w:rsidR="00032809" w:rsidRPr="00032809" w:rsidRDefault="00032809" w:rsidP="00032809">
      <w:pPr>
        <w:spacing w:after="0" w:line="240" w:lineRule="auto"/>
        <w:rPr>
          <w:rFonts w:ascii="PT Astra Serif" w:hAnsi="PT Astra Serif"/>
          <w:b/>
          <w:sz w:val="24"/>
          <w:szCs w:val="24"/>
        </w:rPr>
      </w:pPr>
      <w:bookmarkStart w:id="4" w:name="_Toc180136"/>
      <w:r w:rsidRPr="00032809">
        <w:rPr>
          <w:rFonts w:ascii="PT Astra Serif" w:hAnsi="PT Astra Serif"/>
          <w:b/>
          <w:sz w:val="24"/>
          <w:szCs w:val="24"/>
        </w:rPr>
        <w:t xml:space="preserve">9.4. Заполнение листов (бланков) ответов № 2 и дополнительного листа (бланка) ответов № </w:t>
      </w:r>
      <w:proofErr w:type="gramStart"/>
      <w:r w:rsidRPr="00032809">
        <w:rPr>
          <w:rFonts w:ascii="PT Astra Serif" w:hAnsi="PT Astra Serif"/>
          <w:b/>
          <w:sz w:val="24"/>
          <w:szCs w:val="24"/>
        </w:rPr>
        <w:t>2 ,</w:t>
      </w:r>
      <w:proofErr w:type="gramEnd"/>
      <w:r w:rsidRPr="00032809">
        <w:rPr>
          <w:rFonts w:ascii="PT Astra Serif" w:hAnsi="PT Astra Serif"/>
          <w:b/>
          <w:sz w:val="24"/>
          <w:szCs w:val="24"/>
        </w:rPr>
        <w:t xml:space="preserve"> а также листа (бланка) устного экзамена  </w:t>
      </w:r>
      <w:bookmarkEnd w:id="4"/>
    </w:p>
    <w:p w:rsidR="00032809" w:rsidRPr="00032809" w:rsidRDefault="00032809" w:rsidP="00032809">
      <w:pPr>
        <w:spacing w:after="0" w:line="240" w:lineRule="auto"/>
        <w:rPr>
          <w:rFonts w:ascii="PT Astra Serif" w:hAnsi="PT Astra Serif"/>
          <w:sz w:val="24"/>
          <w:szCs w:val="24"/>
        </w:rPr>
      </w:pPr>
      <w:bookmarkStart w:id="5" w:name="_GoBack"/>
      <w:bookmarkEnd w:id="5"/>
      <w:r w:rsidRPr="00032809">
        <w:rPr>
          <w:rFonts w:ascii="PT Astra Serif" w:hAnsi="PT Astra Serif"/>
          <w:sz w:val="24"/>
          <w:szCs w:val="24"/>
        </w:rPr>
        <w:t xml:space="preserve">Лист (бланк) ответов № 2 предназначен для записи ответов на задания с развернутым ответом (строго в соответствии с требованиями инструкции к КИМ и к отдельным заданиям КИМ). 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Дополнительный лист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Поле для записи цифрового значения кода дополнительного листа (бланка) ответов № 2 и (или) следующего дополнительного листа (бланка) ответов № 2 заполняется организатором в аудитории только при выдаче следующего дополнительного листа (бланка) ответов № 2, если участнику экзамена не хватило места на ранее выданных дополнительных листах (бланках) ответов № 2. В этом случае организатор в аудитории вносит в это поле цифровое значение кода следующего дополнительного листа (бланка) ответов № 2, который выдает участнику экзамена для заполнения. Если дополнительный лист (бланк) ответов № 2 не выдавался, то </w:t>
      </w:r>
      <w:proofErr w:type="gramStart"/>
      <w:r w:rsidRPr="00032809">
        <w:rPr>
          <w:rFonts w:ascii="PT Astra Serif" w:hAnsi="PT Astra Serif"/>
          <w:sz w:val="24"/>
          <w:szCs w:val="24"/>
        </w:rPr>
        <w:t>поле</w:t>
      </w:r>
      <w:proofErr w:type="gramEnd"/>
      <w:r w:rsidRPr="00032809">
        <w:rPr>
          <w:rFonts w:ascii="PT Astra Serif" w:hAnsi="PT Astra Serif"/>
          <w:sz w:val="24"/>
          <w:szCs w:val="24"/>
        </w:rPr>
        <w:t xml:space="preserve"> указанное остается пустым.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lastRenderedPageBreak/>
        <w:t xml:space="preserve">Поле для записи цифрового значения кода дополнительного листа (бланка) ответов № 2 и (или) следующего дополнительного листа (бланка) ответов № 2 заполняет организатор в аудитории только при выдаче дополнительного листа (бланка) ответов № 2, вписывая в это поле цифровое значение кода дополнительного листа (бланка) ответов № 2, который выдается участнику экзамена. Если дополнительный лист (бланк) ответов № 2 не выдавался, то указанное </w:t>
      </w:r>
      <w:proofErr w:type="gramStart"/>
      <w:r w:rsidRPr="00032809">
        <w:rPr>
          <w:rFonts w:ascii="PT Astra Serif" w:hAnsi="PT Astra Serif"/>
          <w:sz w:val="24"/>
          <w:szCs w:val="24"/>
        </w:rPr>
        <w:t>поле  остается</w:t>
      </w:r>
      <w:proofErr w:type="gramEnd"/>
      <w:r w:rsidRPr="00032809">
        <w:rPr>
          <w:rFonts w:ascii="PT Astra Serif" w:hAnsi="PT Astra Serif"/>
          <w:sz w:val="24"/>
          <w:szCs w:val="24"/>
        </w:rPr>
        <w:t xml:space="preserve"> пустым.  </w:t>
      </w:r>
    </w:p>
    <w:p w:rsidR="00032809" w:rsidRPr="00032809" w:rsidRDefault="00032809" w:rsidP="00032809">
      <w:pPr>
        <w:spacing w:after="0" w:line="240" w:lineRule="auto"/>
        <w:rPr>
          <w:rFonts w:ascii="PT Astra Serif" w:hAnsi="PT Astra Serif"/>
          <w:sz w:val="24"/>
          <w:szCs w:val="24"/>
        </w:rPr>
      </w:pPr>
      <w:r w:rsidRPr="00032809">
        <w:rPr>
          <w:rFonts w:ascii="PT Astra Serif" w:hAnsi="PT Astra Serif"/>
          <w:sz w:val="24"/>
          <w:szCs w:val="24"/>
        </w:rPr>
        <w:t xml:space="preserve">Лист (бланк) устного экзамена заполняется так же, как регистрационная часть листа (бланка) ответов № 1. В поле «Номер аудитории» указывается номер аудитории проведения устного экзамена. </w:t>
      </w:r>
    </w:p>
    <w:p w:rsidR="002B3E8A" w:rsidRPr="00032809" w:rsidRDefault="002B3E8A" w:rsidP="00032809">
      <w:pPr>
        <w:spacing w:after="0" w:line="240" w:lineRule="auto"/>
        <w:rPr>
          <w:rFonts w:ascii="PT Astra Serif" w:hAnsi="PT Astra Serif"/>
          <w:sz w:val="24"/>
          <w:szCs w:val="24"/>
        </w:rPr>
      </w:pPr>
    </w:p>
    <w:sectPr w:rsidR="002B3E8A" w:rsidRPr="000328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A1" w:rsidRDefault="00A06EA1" w:rsidP="00032809">
      <w:pPr>
        <w:spacing w:after="0" w:line="240" w:lineRule="auto"/>
      </w:pPr>
      <w:r>
        <w:separator/>
      </w:r>
    </w:p>
  </w:endnote>
  <w:endnote w:type="continuationSeparator" w:id="0">
    <w:p w:rsidR="00A06EA1" w:rsidRDefault="00A06EA1" w:rsidP="0003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A1" w:rsidRDefault="00A06EA1" w:rsidP="00032809">
      <w:pPr>
        <w:spacing w:after="0" w:line="240" w:lineRule="auto"/>
      </w:pPr>
      <w:r>
        <w:separator/>
      </w:r>
    </w:p>
  </w:footnote>
  <w:footnote w:type="continuationSeparator" w:id="0">
    <w:p w:rsidR="00A06EA1" w:rsidRDefault="00A06EA1" w:rsidP="00032809">
      <w:pPr>
        <w:spacing w:after="0" w:line="240" w:lineRule="auto"/>
      </w:pPr>
      <w:r>
        <w:continuationSeparator/>
      </w:r>
    </w:p>
  </w:footnote>
  <w:footnote w:id="1">
    <w:p w:rsidR="00032809" w:rsidRDefault="00032809" w:rsidP="00032809">
      <w:pPr>
        <w:spacing w:line="252" w:lineRule="auto"/>
      </w:pPr>
      <w:r>
        <w:footnoteRef/>
      </w:r>
      <w:r>
        <w:t xml:space="preserve"> Примерный перечень часто используемых при проведении ГИА документов, удостоверяющих личность, приведен в приложении № 1. </w:t>
      </w:r>
    </w:p>
  </w:footnote>
  <w:footnote w:id="2">
    <w:p w:rsidR="00032809" w:rsidRDefault="00032809" w:rsidP="00032809">
      <w:pPr>
        <w:spacing w:line="264" w:lineRule="auto"/>
      </w:pPr>
      <w:r>
        <w:footnoteRef/>
      </w:r>
      <w:r>
        <w:t xml:space="preserve"> Примерный перечень часто используемых при проведении ГИА документов, удостоверяющих личность, приведен в приложении № 1.</w:t>
      </w:r>
      <w:r>
        <w:rPr>
          <w:rFonts w:ascii="Calibri" w:eastAsia="Calibri" w:hAnsi="Calibri" w:cs="Calibri"/>
        </w:rPr>
        <w:t xml:space="preserve"> </w:t>
      </w:r>
    </w:p>
  </w:footnote>
  <w:footnote w:id="3">
    <w:p w:rsidR="00032809" w:rsidRDefault="00032809" w:rsidP="00032809">
      <w:pPr>
        <w:spacing w:line="241" w:lineRule="auto"/>
        <w:ind w:right="293" w:firstLine="566"/>
      </w:pPr>
      <w:r>
        <w:footnoteRef/>
      </w:r>
      <w:r>
        <w:t xml:space="preserve"> В случае если ответ на задание требуется записать в виде последовательности цифр (чисел) или букв, то ответ в поле листа (бланка) ответа № 1 необходимо записать в соответствии с инструкцией к заданию: в виде последовательности цифр (чисел) или букв, </w:t>
      </w:r>
      <w:r>
        <w:rPr>
          <w:rFonts w:ascii="Times New Roman" w:eastAsia="Times New Roman" w:hAnsi="Times New Roman" w:cs="Times New Roman"/>
          <w:b/>
        </w:rPr>
        <w:t xml:space="preserve">без каких-либо разделительных символов, в том числе пробелов, </w:t>
      </w:r>
      <w:r>
        <w:t xml:space="preserve">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9"/>
    <w:rsid w:val="00032809"/>
    <w:rsid w:val="000A3A12"/>
    <w:rsid w:val="002B3E8A"/>
    <w:rsid w:val="00426EEE"/>
    <w:rsid w:val="00950F95"/>
    <w:rsid w:val="00A06EA1"/>
    <w:rsid w:val="00F7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305F8-7AF6-45C4-AECD-164E9676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1830</Words>
  <Characters>10437</Characters>
  <Application>Microsoft Office Word</Application>
  <DocSecurity>0</DocSecurity>
  <Lines>86</Lines>
  <Paragraphs>24</Paragraphs>
  <ScaleCrop>false</ScaleCrop>
  <Company>SPecialiST RePack</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Леонидович</dc:creator>
  <cp:keywords/>
  <dc:description/>
  <cp:lastModifiedBy>Игорь Леонидович</cp:lastModifiedBy>
  <cp:revision>1</cp:revision>
  <dcterms:created xsi:type="dcterms:W3CDTF">2022-03-30T15:39:00Z</dcterms:created>
  <dcterms:modified xsi:type="dcterms:W3CDTF">2022-03-30T15:41:00Z</dcterms:modified>
</cp:coreProperties>
</file>